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910" w:rsidRDefault="00496910" w:rsidP="00496910">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附表1： 湖南工商大学研究生金融案例分析大赛                                                                                暨第五届湖南省研究生金融案例大赛校级选拔赛评审结果</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733"/>
        <w:gridCol w:w="1559"/>
        <w:gridCol w:w="992"/>
        <w:gridCol w:w="993"/>
        <w:gridCol w:w="1134"/>
      </w:tblGrid>
      <w:tr w:rsidR="00496910" w:rsidTr="001A6CDD">
        <w:trPr>
          <w:trHeight w:val="622"/>
        </w:trPr>
        <w:tc>
          <w:tcPr>
            <w:tcW w:w="0" w:type="auto"/>
            <w:shd w:val="clear" w:color="auto" w:fill="auto"/>
            <w:vAlign w:val="center"/>
          </w:tcPr>
          <w:p w:rsidR="00496910" w:rsidRDefault="00496910" w:rsidP="001A6CD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3733" w:type="dxa"/>
            <w:shd w:val="clear" w:color="auto" w:fill="auto"/>
            <w:vAlign w:val="center"/>
          </w:tcPr>
          <w:p w:rsidR="00496910" w:rsidRDefault="00496910" w:rsidP="001A6CD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案例名称</w:t>
            </w:r>
          </w:p>
        </w:tc>
        <w:tc>
          <w:tcPr>
            <w:tcW w:w="1559" w:type="dxa"/>
            <w:shd w:val="clear" w:color="auto" w:fill="auto"/>
            <w:vAlign w:val="center"/>
          </w:tcPr>
          <w:p w:rsidR="00496910" w:rsidRDefault="00496910" w:rsidP="001A6CDD">
            <w:pPr>
              <w:widowControl/>
              <w:jc w:val="center"/>
              <w:rPr>
                <w:rFonts w:ascii="宋体" w:eastAsia="宋体" w:hAnsi="宋体" w:cs="宋体"/>
                <w:b/>
                <w:bCs/>
                <w:color w:val="000000"/>
                <w:kern w:val="0"/>
                <w:sz w:val="22"/>
              </w:rPr>
            </w:pPr>
            <w:r>
              <w:rPr>
                <w:rFonts w:ascii="宋体" w:eastAsia="宋体" w:hAnsi="宋体" w:cs="宋体" w:hint="eastAsia"/>
                <w:b/>
                <w:bCs/>
                <w:kern w:val="0"/>
                <w:sz w:val="22"/>
              </w:rPr>
              <w:t>团队成员</w:t>
            </w:r>
          </w:p>
        </w:tc>
        <w:tc>
          <w:tcPr>
            <w:tcW w:w="992" w:type="dxa"/>
            <w:shd w:val="clear" w:color="auto" w:fill="auto"/>
            <w:vAlign w:val="center"/>
          </w:tcPr>
          <w:p w:rsidR="00496910" w:rsidRDefault="00496910" w:rsidP="001A6CDD">
            <w:pPr>
              <w:widowControl/>
              <w:jc w:val="center"/>
              <w:rPr>
                <w:rFonts w:ascii="宋体" w:eastAsia="宋体" w:hAnsi="宋体" w:cs="宋体"/>
                <w:b/>
                <w:bCs/>
                <w:color w:val="000000"/>
                <w:kern w:val="0"/>
                <w:sz w:val="22"/>
              </w:rPr>
            </w:pPr>
            <w:r>
              <w:rPr>
                <w:rFonts w:ascii="宋体" w:eastAsia="宋体" w:hAnsi="宋体" w:cs="宋体" w:hint="eastAsia"/>
                <w:b/>
                <w:bCs/>
                <w:kern w:val="0"/>
                <w:sz w:val="22"/>
              </w:rPr>
              <w:t>队长</w:t>
            </w:r>
          </w:p>
        </w:tc>
        <w:tc>
          <w:tcPr>
            <w:tcW w:w="993" w:type="dxa"/>
            <w:shd w:val="clear" w:color="auto" w:fill="auto"/>
            <w:vAlign w:val="center"/>
          </w:tcPr>
          <w:p w:rsidR="00496910" w:rsidRDefault="00496910" w:rsidP="001A6CDD">
            <w:pPr>
              <w:widowControl/>
              <w:jc w:val="center"/>
              <w:rPr>
                <w:rFonts w:ascii="宋体" w:eastAsia="宋体" w:hAnsi="宋体" w:cs="宋体"/>
                <w:b/>
                <w:bCs/>
                <w:kern w:val="0"/>
                <w:sz w:val="22"/>
              </w:rPr>
            </w:pPr>
            <w:r>
              <w:rPr>
                <w:rFonts w:ascii="宋体" w:eastAsia="宋体" w:hAnsi="宋体" w:cs="宋体" w:hint="eastAsia"/>
                <w:b/>
                <w:bCs/>
                <w:kern w:val="0"/>
                <w:sz w:val="22"/>
              </w:rPr>
              <w:t>拟获奖等次</w:t>
            </w:r>
          </w:p>
        </w:tc>
        <w:tc>
          <w:tcPr>
            <w:tcW w:w="1134" w:type="dxa"/>
            <w:shd w:val="clear" w:color="auto" w:fill="auto"/>
            <w:vAlign w:val="center"/>
          </w:tcPr>
          <w:p w:rsidR="00496910" w:rsidRDefault="00496910" w:rsidP="001A6CDD">
            <w:pPr>
              <w:widowControl/>
              <w:jc w:val="center"/>
              <w:rPr>
                <w:rFonts w:ascii="宋体" w:eastAsia="宋体" w:hAnsi="宋体" w:cs="宋体"/>
                <w:b/>
                <w:bCs/>
                <w:kern w:val="0"/>
                <w:sz w:val="22"/>
              </w:rPr>
            </w:pPr>
            <w:r>
              <w:rPr>
                <w:rFonts w:ascii="宋体" w:eastAsia="宋体" w:hAnsi="宋体" w:cs="宋体" w:hint="eastAsia"/>
                <w:b/>
                <w:bCs/>
                <w:kern w:val="0"/>
                <w:sz w:val="22"/>
              </w:rPr>
              <w:t>是否拟推荐参加省赛</w:t>
            </w:r>
          </w:p>
        </w:tc>
      </w:tr>
      <w:tr w:rsidR="00496910" w:rsidTr="001A6CDD">
        <w:trPr>
          <w:trHeight w:val="1106"/>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从“流量内卷”到“价值共生”——京东入局外卖背后的金融赋能逻辑</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吴雨曼 曹宇雯 曹雅文 周群</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吴雨曼</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1103"/>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“大行”压境，且看“常”门“熟”道——大行业务下沉下常熟银行数智普惠金融探索与实践</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王增强 黄宏皓</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王增强</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836"/>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炼金术的光华与隐痕：恒丰银行数据资产估值与入表路径鉴照</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吴宁倞 包思懿</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肖扬</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848"/>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“来湖南，创业吧”——湖南股交所如何赋能初创企业 </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李杰 彭文颖 谢心怡</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曾子蕙</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832"/>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5</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从青</w:t>
            </w:r>
            <w:r>
              <w:rPr>
                <w:rFonts w:ascii="Times New Roman" w:eastAsia="宋体" w:hAnsi="Times New Roman" w:cs="Times New Roman" w:hint="eastAsia"/>
                <w:color w:val="000000"/>
                <w:kern w:val="0"/>
                <w:sz w:val="22"/>
              </w:rPr>
              <w:t>峦到金山：大理湾桥镇“碳汇贷”</w:t>
            </w:r>
            <w:r>
              <w:rPr>
                <w:rFonts w:ascii="Times New Roman" w:eastAsia="宋体" w:hAnsi="Times New Roman" w:cs="Times New Roman" w:hint="eastAsia"/>
                <w:color w:val="000000"/>
                <w:kern w:val="0"/>
                <w:sz w:val="22"/>
              </w:rPr>
              <w:t>2.0</w:t>
            </w:r>
            <w:r>
              <w:rPr>
                <w:rFonts w:ascii="Times New Roman" w:eastAsia="宋体" w:hAnsi="Times New Roman" w:cs="Times New Roman" w:hint="eastAsia"/>
                <w:color w:val="000000"/>
                <w:kern w:val="0"/>
                <w:sz w:val="22"/>
              </w:rPr>
              <w:t>的绿色信贷实践</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赵鑫 周茜芬</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刘译蔓</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一等奖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993"/>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6</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科技金融体系赋能</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AI</w:t>
            </w:r>
            <w:r>
              <w:rPr>
                <w:rFonts w:ascii="Times New Roman" w:eastAsia="宋体" w:hAnsi="Times New Roman" w:cs="Times New Roman"/>
                <w:color w:val="000000"/>
                <w:kern w:val="0"/>
                <w:sz w:val="22"/>
              </w:rPr>
              <w:t>芯片</w:t>
            </w:r>
            <w:r>
              <w:rPr>
                <w:rFonts w:ascii="宋体" w:eastAsia="宋体" w:hAnsi="宋体" w:cs="宋体" w:hint="eastAsia"/>
                <w:color w:val="000000"/>
                <w:kern w:val="0"/>
                <w:sz w:val="22"/>
              </w:rPr>
              <w:t>产业蝶化——寒武纪投融资模式</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向星熠 张耀尹</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毛丹</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986"/>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7</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“数字”同舟，顺“链”远航——湖南三湘银行数字供应链金融的探险之旅</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谢军渝 杨宇锦</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赵露</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1128"/>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8</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“湘股交链”链湘企——区块链赋能湖南区域股权市场企业培育机制创新</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陆蕓芳 龙泽军 慕茜茜</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方梦玲</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1158"/>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9</w:t>
            </w:r>
          </w:p>
        </w:tc>
        <w:tc>
          <w:tcPr>
            <w:tcW w:w="3733"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USAT</w:t>
            </w:r>
            <w:r>
              <w:rPr>
                <w:rFonts w:ascii="Times New Roman" w:eastAsia="宋体" w:hAnsi="Times New Roman" w:cs="Times New Roman"/>
                <w:color w:val="000000"/>
                <w:kern w:val="0"/>
                <w:sz w:val="22"/>
              </w:rPr>
              <w:t>破局美国稳定币合规进程与中国机遇基于稳定币研究与全球监管分析</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王泽 管子龙</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吴建</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1158"/>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10</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定增“一子落“，转型”满盘活“：邮储银行的共振密码</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 xml:space="preserve"> 刘恒睿 吴洋</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 xml:space="preserve"> 张渊</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1098"/>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11</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擘画未来，颐养中国：中国人寿“三支柱”战略的价值创造之路</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周鹏辉 姚双杰 程飞扬 韦浩杰</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 xml:space="preserve"> 韦浩杰</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1021"/>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lastRenderedPageBreak/>
              <w:t>12</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以“金”促廉，清风“建”行——中国建设银行郴州分行智慧食堂</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欧莫妍 李叶 唐银</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欧莫妍</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964"/>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13</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智绿双轮，债见未来——绿色金融推动宁德时代产业链重塑 </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周益宇 周玮霖 卢禹龙 朱睿婷</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何佶锴</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966"/>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14</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“智”助太平，“情”暖桑榆——解码太平养老“数智赋能+服务融情”适老新范式</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王佳宁 黄子峄 申方舟</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王佳宁</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742"/>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15</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三一重工数字化转型的金融支持体系与战略布局研究 </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李斌 曾鹏涛</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闫子豪</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496910" w:rsidTr="001A6CDD">
        <w:trPr>
          <w:trHeight w:val="856"/>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16</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AI破局，智防险生：打造“数据驱动的智能风控平台”——以长沙银行为例</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李恩慧 李璐</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李舒昕</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p>
        </w:tc>
      </w:tr>
      <w:tr w:rsidR="00496910" w:rsidTr="001A6CDD">
        <w:trPr>
          <w:trHeight w:val="744"/>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17</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引金融之“源” 润科技之“木”：政府引导下科创企业融资路径研究</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唐翔丽 侯湘文</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黄梦琴</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p>
        </w:tc>
      </w:tr>
      <w:tr w:rsidR="00496910" w:rsidTr="001A6CDD">
        <w:trPr>
          <w:trHeight w:val="944"/>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18</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以链为桥，焕活信贷：区块链赋能商业银行供应链金融破局实践--以浙商银行为例</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谭叶鑫 张嘉礽 袁灿</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谭叶鑫</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p>
        </w:tc>
      </w:tr>
      <w:tr w:rsidR="00496910" w:rsidTr="001A6CDD">
        <w:trPr>
          <w:trHeight w:val="904"/>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19</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锚定稳定，链控风险——稳定币的生态风控机制探析</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张胡红 李骁晴 李睿</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张胡红</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p>
        </w:tc>
      </w:tr>
      <w:tr w:rsidR="00496910" w:rsidTr="001A6CDD">
        <w:trPr>
          <w:trHeight w:val="1018"/>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w:t>
            </w:r>
            <w:r>
              <w:rPr>
                <w:rFonts w:ascii="Times New Roman" w:eastAsia="宋体" w:hAnsi="Times New Roman" w:cs="Times New Roman"/>
                <w:color w:val="000000"/>
                <w:kern w:val="0"/>
                <w:sz w:val="22"/>
              </w:rPr>
              <w:t>0</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政策性金融数字化赋能普惠金融的实践——以中国农业发展银行醴陵市支行为例</w:t>
            </w:r>
          </w:p>
        </w:tc>
        <w:tc>
          <w:tcPr>
            <w:tcW w:w="1559"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王安旭 刘沐阳 谢中杰</w:t>
            </w:r>
          </w:p>
        </w:tc>
        <w:tc>
          <w:tcPr>
            <w:tcW w:w="992" w:type="dxa"/>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宋体" w:eastAsia="宋体" w:hAnsi="宋体" w:cs="宋体" w:hint="eastAsia"/>
                <w:color w:val="000000"/>
                <w:kern w:val="0"/>
                <w:sz w:val="22"/>
              </w:rPr>
              <w:t>王安旭</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p>
        </w:tc>
      </w:tr>
      <w:tr w:rsidR="00496910" w:rsidTr="001A6CDD">
        <w:trPr>
          <w:trHeight w:val="1022"/>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w:t>
            </w:r>
            <w:r>
              <w:rPr>
                <w:rFonts w:ascii="Times New Roman" w:eastAsia="宋体" w:hAnsi="Times New Roman" w:cs="Times New Roman"/>
                <w:color w:val="000000"/>
                <w:kern w:val="0"/>
                <w:sz w:val="22"/>
              </w:rPr>
              <w:t>1</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“超级航母”启航：国泰君安与海通合并背后的中国投行“升维”之战</w:t>
            </w:r>
          </w:p>
        </w:tc>
        <w:tc>
          <w:tcPr>
            <w:tcW w:w="1559"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金箫 蒋超杰 唐颖峰</w:t>
            </w:r>
          </w:p>
        </w:tc>
        <w:tc>
          <w:tcPr>
            <w:tcW w:w="992"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蒋超杰</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p>
        </w:tc>
      </w:tr>
      <w:tr w:rsidR="00496910" w:rsidTr="001A6CDD">
        <w:trPr>
          <w:trHeight w:val="1040"/>
        </w:trPr>
        <w:tc>
          <w:tcPr>
            <w:tcW w:w="0" w:type="auto"/>
            <w:shd w:val="clear" w:color="auto" w:fill="auto"/>
            <w:vAlign w:val="center"/>
          </w:tcPr>
          <w:p w:rsidR="00496910" w:rsidRDefault="00496910" w:rsidP="001A6CDD">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w:t>
            </w:r>
            <w:r>
              <w:rPr>
                <w:rFonts w:ascii="Times New Roman" w:eastAsia="宋体" w:hAnsi="Times New Roman" w:cs="Times New Roman"/>
                <w:color w:val="000000"/>
                <w:kern w:val="0"/>
                <w:sz w:val="22"/>
              </w:rPr>
              <w:t>2</w:t>
            </w:r>
          </w:p>
        </w:tc>
        <w:tc>
          <w:tcPr>
            <w:tcW w:w="373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“孤帆”何以沉没？——众泰汽车资本博弈与实业根基的背离</w:t>
            </w:r>
          </w:p>
        </w:tc>
        <w:tc>
          <w:tcPr>
            <w:tcW w:w="1559"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杨阳通 母宇航 吴绮霞</w:t>
            </w:r>
          </w:p>
        </w:tc>
        <w:tc>
          <w:tcPr>
            <w:tcW w:w="992"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谢淼</w:t>
            </w:r>
          </w:p>
        </w:tc>
        <w:tc>
          <w:tcPr>
            <w:tcW w:w="993" w:type="dxa"/>
            <w:shd w:val="clear" w:color="auto" w:fill="auto"/>
            <w:vAlign w:val="center"/>
          </w:tcPr>
          <w:p w:rsidR="00496910" w:rsidRDefault="00496910" w:rsidP="001A6C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三等奖</w:t>
            </w:r>
          </w:p>
        </w:tc>
        <w:tc>
          <w:tcPr>
            <w:tcW w:w="1134" w:type="dxa"/>
            <w:shd w:val="clear" w:color="auto" w:fill="auto"/>
            <w:vAlign w:val="center"/>
          </w:tcPr>
          <w:p w:rsidR="00496910" w:rsidRDefault="00496910" w:rsidP="001A6CDD">
            <w:pPr>
              <w:widowControl/>
              <w:jc w:val="center"/>
              <w:rPr>
                <w:rFonts w:ascii="宋体" w:eastAsia="宋体" w:hAnsi="宋体" w:cs="宋体"/>
                <w:color w:val="000000"/>
                <w:kern w:val="0"/>
                <w:sz w:val="22"/>
              </w:rPr>
            </w:pPr>
          </w:p>
        </w:tc>
      </w:tr>
    </w:tbl>
    <w:p w:rsidR="00496910" w:rsidRDefault="00496910" w:rsidP="00496910"/>
    <w:p w:rsidR="001661A1" w:rsidRDefault="00BF1C76">
      <w:bookmarkStart w:id="0" w:name="_GoBack"/>
      <w:bookmarkEnd w:id="0"/>
    </w:p>
    <w:sectPr w:rsidR="001661A1">
      <w:pgSz w:w="11906" w:h="16838"/>
      <w:pgMar w:top="1418" w:right="1644" w:bottom="1418"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C76" w:rsidRDefault="00BF1C76" w:rsidP="00496910">
      <w:r>
        <w:separator/>
      </w:r>
    </w:p>
  </w:endnote>
  <w:endnote w:type="continuationSeparator" w:id="0">
    <w:p w:rsidR="00BF1C76" w:rsidRDefault="00BF1C76" w:rsidP="0049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C76" w:rsidRDefault="00BF1C76" w:rsidP="00496910">
      <w:r>
        <w:separator/>
      </w:r>
    </w:p>
  </w:footnote>
  <w:footnote w:type="continuationSeparator" w:id="0">
    <w:p w:rsidR="00BF1C76" w:rsidRDefault="00BF1C76" w:rsidP="00496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6E"/>
    <w:rsid w:val="00496910"/>
    <w:rsid w:val="0093756C"/>
    <w:rsid w:val="00A831EF"/>
    <w:rsid w:val="00BF1C76"/>
    <w:rsid w:val="00D30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27DF7A-371D-4253-B9B5-FD5321EE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9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6910"/>
    <w:rPr>
      <w:sz w:val="18"/>
      <w:szCs w:val="18"/>
    </w:rPr>
  </w:style>
  <w:style w:type="paragraph" w:styleId="a5">
    <w:name w:val="footer"/>
    <w:basedOn w:val="a"/>
    <w:link w:val="a6"/>
    <w:uiPriority w:val="99"/>
    <w:unhideWhenUsed/>
    <w:rsid w:val="00496910"/>
    <w:pPr>
      <w:tabs>
        <w:tab w:val="center" w:pos="4153"/>
        <w:tab w:val="right" w:pos="8306"/>
      </w:tabs>
      <w:snapToGrid w:val="0"/>
      <w:jc w:val="left"/>
    </w:pPr>
    <w:rPr>
      <w:sz w:val="18"/>
      <w:szCs w:val="18"/>
    </w:rPr>
  </w:style>
  <w:style w:type="character" w:customStyle="1" w:styleId="a6">
    <w:name w:val="页脚 字符"/>
    <w:basedOn w:val="a0"/>
    <w:link w:val="a5"/>
    <w:uiPriority w:val="99"/>
    <w:rsid w:val="004969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2025-10-07T13:01:00Z</dcterms:created>
  <dcterms:modified xsi:type="dcterms:W3CDTF">2025-10-07T13:01:00Z</dcterms:modified>
</cp:coreProperties>
</file>